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E1" w:rsidRPr="00621BE1" w:rsidRDefault="00BB41A5">
      <w:pPr>
        <w:rPr>
          <w:noProof/>
          <w:lang w:val="fr-CA"/>
        </w:rPr>
      </w:pPr>
      <w:r w:rsidRPr="00B6707F">
        <w:rPr>
          <w:rFonts w:ascii="Poppins Light" w:hAnsi="Poppins Light" w:cs="Poppins Light"/>
          <w:noProof/>
          <w:sz w:val="24"/>
          <w:lang w:val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-429895</wp:posOffset>
                </wp:positionV>
                <wp:extent cx="452945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07F" w:rsidRPr="00B6707F" w:rsidRDefault="00B6707F" w:rsidP="00B6707F">
                            <w:pPr>
                              <w:spacing w:line="240" w:lineRule="auto"/>
                              <w:rPr>
                                <w:lang w:val="fr-CA"/>
                              </w:rPr>
                            </w:pPr>
                            <w:proofErr w:type="spellStart"/>
                            <w:r w:rsidRPr="00621BE1">
                              <w:rPr>
                                <w:rFonts w:ascii="Poppins ExtraBold" w:hAnsi="Poppins ExtraBold" w:cs="Poppins ExtraBold"/>
                                <w:sz w:val="56"/>
                              </w:rPr>
                              <w:t>Exemples</w:t>
                            </w:r>
                            <w:proofErr w:type="spellEnd"/>
                            <w:r w:rsidRPr="00621BE1">
                              <w:rPr>
                                <w:rFonts w:ascii="Poppins ExtraBold" w:hAnsi="Poppins ExtraBold" w:cs="Poppins ExtraBold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 w:rsidRPr="00621BE1">
                              <w:rPr>
                                <w:rFonts w:ascii="Poppins ExtraBold" w:hAnsi="Poppins ExtraBold" w:cs="Poppins ExtraBold"/>
                                <w:sz w:val="56"/>
                              </w:rPr>
                              <w:t>d’énoncés</w:t>
                            </w:r>
                            <w:proofErr w:type="spellEnd"/>
                            <w:r w:rsidRPr="00621BE1">
                              <w:rPr>
                                <w:rFonts w:ascii="Poppins ExtraBold" w:hAnsi="Poppins ExtraBold" w:cs="Poppins ExtraBold"/>
                                <w:sz w:val="56"/>
                              </w:rPr>
                              <w:t xml:space="preserve"> de </w:t>
                            </w:r>
                            <w:proofErr w:type="spellStart"/>
                            <w:r w:rsidRPr="00621BE1">
                              <w:rPr>
                                <w:rFonts w:ascii="Poppins ExtraBold" w:hAnsi="Poppins ExtraBold" w:cs="Poppins ExtraBold"/>
                                <w:sz w:val="56"/>
                              </w:rPr>
                              <w:t>politique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5.45pt;margin-top:-33.85pt;width:356.6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" filled="f" stroked="f">
                <v:textbox style="mso-fit-shape-to-text:t">
                  <w:txbxContent>
                    <w:p w:rsidR="00B6707F" w:rsidRPr="00B6707F" w:rsidRDefault="00B6707F" w:rsidP="00B6707F">
                      <w:pPr>
                        <w:spacing w:line="240" w:lineRule="auto"/>
                        <w:rPr>
                          <w:lang w:val="fr-CA"/>
                        </w:rPr>
                      </w:pPr>
                      <w:proofErr w:type="spellStart"/>
                      <w:r w:rsidRPr="00621BE1">
                        <w:rPr>
                          <w:rFonts w:ascii="Poppins ExtraBold" w:hAnsi="Poppins ExtraBold" w:cs="Poppins ExtraBold"/>
                          <w:sz w:val="56"/>
                        </w:rPr>
                        <w:t>Exemples</w:t>
                      </w:r>
                      <w:proofErr w:type="spellEnd"/>
                      <w:r w:rsidRPr="00621BE1">
                        <w:rPr>
                          <w:rFonts w:ascii="Poppins ExtraBold" w:hAnsi="Poppins ExtraBold" w:cs="Poppins ExtraBold"/>
                          <w:sz w:val="56"/>
                        </w:rPr>
                        <w:t xml:space="preserve"> </w:t>
                      </w:r>
                      <w:proofErr w:type="spellStart"/>
                      <w:r w:rsidRPr="00621BE1">
                        <w:rPr>
                          <w:rFonts w:ascii="Poppins ExtraBold" w:hAnsi="Poppins ExtraBold" w:cs="Poppins ExtraBold"/>
                          <w:sz w:val="56"/>
                        </w:rPr>
                        <w:t>d’énoncés</w:t>
                      </w:r>
                      <w:proofErr w:type="spellEnd"/>
                      <w:r w:rsidRPr="00621BE1">
                        <w:rPr>
                          <w:rFonts w:ascii="Poppins ExtraBold" w:hAnsi="Poppins ExtraBold" w:cs="Poppins ExtraBold"/>
                          <w:sz w:val="56"/>
                        </w:rPr>
                        <w:t xml:space="preserve"> de </w:t>
                      </w:r>
                      <w:proofErr w:type="spellStart"/>
                      <w:r w:rsidRPr="00621BE1">
                        <w:rPr>
                          <w:rFonts w:ascii="Poppins ExtraBold" w:hAnsi="Poppins ExtraBold" w:cs="Poppins ExtraBold"/>
                          <w:sz w:val="56"/>
                        </w:rPr>
                        <w:t>politique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86F9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-827193</wp:posOffset>
            </wp:positionV>
            <wp:extent cx="1068729" cy="15269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tete Out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29" cy="1526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  <w:r w:rsidR="00F73429" w:rsidRPr="00621BE1">
        <w:rPr>
          <w:noProof/>
          <w:lang w:val="fr-CA"/>
        </w:rPr>
        <w:softHyphen/>
      </w:r>
    </w:p>
    <w:p w:rsidR="009B2BFE" w:rsidRDefault="009B2BFE" w:rsidP="00834476">
      <w:pPr>
        <w:spacing w:before="240"/>
        <w:rPr>
          <w:rFonts w:ascii="Poppins Light" w:hAnsi="Poppins Light" w:cs="Poppins Light"/>
          <w:noProof/>
          <w:lang w:val="fr-CA"/>
        </w:rPr>
      </w:pPr>
    </w:p>
    <w:p w:rsidR="009B2BFE" w:rsidRDefault="009B2BFE" w:rsidP="00834476">
      <w:pPr>
        <w:spacing w:before="240"/>
        <w:rPr>
          <w:rFonts w:ascii="Poppins Light" w:hAnsi="Poppins Light" w:cs="Poppins Light"/>
          <w:noProof/>
          <w:lang w:val="fr-CA"/>
        </w:rPr>
      </w:pPr>
    </w:p>
    <w:p w:rsidR="00621BE1" w:rsidRPr="00B6707F" w:rsidRDefault="00621BE1" w:rsidP="00834476">
      <w:pPr>
        <w:spacing w:before="240"/>
        <w:rPr>
          <w:rFonts w:ascii="Poppins Light" w:hAnsi="Poppins Light" w:cs="Poppins Light"/>
          <w:noProof/>
          <w:lang w:val="fr-CA"/>
        </w:rPr>
      </w:pPr>
      <w:r w:rsidRPr="00B6707F">
        <w:rPr>
          <w:rFonts w:ascii="Poppins Light" w:hAnsi="Poppins Light" w:cs="Poppins Light"/>
          <w:noProof/>
          <w:lang w:val="fr-CA"/>
        </w:rPr>
        <w:t>L</w:t>
      </w:r>
      <w:r w:rsidRPr="00B6707F">
        <w:rPr>
          <w:rFonts w:ascii="Poppins Light" w:hAnsi="Poppins Light" w:cs="Poppins Light"/>
          <w:noProof/>
          <w:lang w:val="fr-CA"/>
        </w:rPr>
        <w:t xml:space="preserve">es politiques peuvent améliorer le fonctionnement et l'efficacité d'une organisation en veillant à la cohérence des principes et en clarifiant les attentes envers ses </w:t>
      </w:r>
      <w:bookmarkStart w:id="0" w:name="_GoBack"/>
      <w:r w:rsidRPr="00B6707F">
        <w:rPr>
          <w:rFonts w:ascii="Poppins Light" w:hAnsi="Poppins Light" w:cs="Poppins Light"/>
          <w:noProof/>
          <w:lang w:val="fr-CA"/>
        </w:rPr>
        <w:t>membres et les obl</w:t>
      </w:r>
      <w:r w:rsidR="00834476" w:rsidRPr="00B6707F">
        <w:rPr>
          <w:rFonts w:ascii="Poppins Light" w:hAnsi="Poppins Light" w:cs="Poppins Light"/>
          <w:noProof/>
          <w:lang w:val="fr-CA"/>
        </w:rPr>
        <w:t>igations de rendre des comptes.</w:t>
      </w:r>
    </w:p>
    <w:bookmarkEnd w:id="0"/>
    <w:p w:rsidR="00834476" w:rsidRDefault="00621BE1" w:rsidP="00621BE1">
      <w:pPr>
        <w:rPr>
          <w:rFonts w:ascii="Poppins Light" w:hAnsi="Poppins Light" w:cs="Poppins Light"/>
          <w:noProof/>
          <w:lang w:val="fr-CA"/>
        </w:rPr>
      </w:pPr>
      <w:r w:rsidRPr="00B6707F">
        <w:rPr>
          <w:rFonts w:ascii="Poppins Light" w:hAnsi="Poppins Light" w:cs="Poppins Light"/>
          <w:noProof/>
          <w:lang w:val="fr-CA"/>
        </w:rPr>
        <w:t>Vous pouvez personnaliser les énoncés ci-dessous pour aider votre organisme à assurer la pérennité des stratégies gagnantes que vous aurez choisi d’implanter comme pratiques organisationnelles pour servir votre clientèle francophone.</w:t>
      </w:r>
    </w:p>
    <w:p w:rsidR="00243FC6" w:rsidRPr="00B6707F" w:rsidRDefault="00243FC6" w:rsidP="00621BE1">
      <w:pPr>
        <w:rPr>
          <w:rFonts w:ascii="Poppins Light" w:hAnsi="Poppins Light" w:cs="Poppins Light"/>
          <w:noProof/>
          <w:lang w:val="fr-CA"/>
        </w:rPr>
      </w:pPr>
    </w:p>
    <w:p w:rsidR="00834476" w:rsidRPr="00B6707F" w:rsidRDefault="00621BE1" w:rsidP="00B6707F">
      <w:pPr>
        <w:pStyle w:val="Paragraphedeliste"/>
        <w:numPr>
          <w:ilvl w:val="0"/>
          <w:numId w:val="1"/>
        </w:numPr>
        <w:spacing w:before="240"/>
        <w:rPr>
          <w:rFonts w:ascii="Poppins SemiBold" w:hAnsi="Poppins SemiBold" w:cs="Poppins SemiBold"/>
          <w:noProof/>
          <w:lang w:val="fr-CA"/>
        </w:rPr>
      </w:pPr>
      <w:r w:rsidRPr="00B6707F">
        <w:rPr>
          <w:rFonts w:ascii="Poppins SemiBold" w:hAnsi="Poppins SemiBold" w:cs="Poppins SemiBold"/>
          <w:noProof/>
          <w:lang w:val="fr-CA"/>
        </w:rPr>
        <w:t>Identifier un ou des champions</w:t>
      </w:r>
    </w:p>
    <w:p w:rsidR="00834476" w:rsidRPr="00B6707F" w:rsidRDefault="00834476" w:rsidP="00834476">
      <w:pPr>
        <w:pStyle w:val="Paragraphedeliste"/>
        <w:ind w:left="360"/>
        <w:rPr>
          <w:rFonts w:ascii="Poppins SemiBold" w:hAnsi="Poppins SemiBold" w:cs="Poppins SemiBold"/>
          <w:noProof/>
          <w:lang w:val="fr-CA"/>
        </w:rPr>
      </w:pPr>
    </w:p>
    <w:p w:rsidR="00834476" w:rsidRPr="00B6707F" w:rsidRDefault="00834476" w:rsidP="00834476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B6707F">
        <w:rPr>
          <w:rFonts w:ascii="Poppins Light" w:hAnsi="Poppins Light" w:cs="Poppins Light"/>
          <w:noProof/>
          <w:lang w:val="fr-CA"/>
        </w:rPr>
        <w:t>[Titre du poste] est chargé d'assurer la mise en œuvre, la continuité et l'évaluation des stratégies gagnantes pour servir les clients francophones de l'organisation.</w:t>
      </w:r>
    </w:p>
    <w:p w:rsidR="00834476" w:rsidRPr="00B6707F" w:rsidRDefault="00834476" w:rsidP="00834476">
      <w:pPr>
        <w:pStyle w:val="Paragraphedeliste"/>
        <w:ind w:left="792"/>
        <w:rPr>
          <w:rFonts w:ascii="Poppins Light" w:hAnsi="Poppins Light" w:cs="Poppins Light"/>
          <w:noProof/>
          <w:lang w:val="fr-CA"/>
        </w:rPr>
      </w:pPr>
    </w:p>
    <w:p w:rsidR="00834476" w:rsidRPr="00B6707F" w:rsidRDefault="00834476" w:rsidP="00B6707F">
      <w:pPr>
        <w:pStyle w:val="Paragraphedeliste"/>
        <w:numPr>
          <w:ilvl w:val="0"/>
          <w:numId w:val="1"/>
        </w:numPr>
        <w:spacing w:line="240" w:lineRule="auto"/>
        <w:rPr>
          <w:rFonts w:ascii="Poppins SemiBold" w:hAnsi="Poppins SemiBold" w:cs="Poppins SemiBold"/>
          <w:noProof/>
          <w:lang w:val="fr-CA"/>
        </w:rPr>
      </w:pPr>
      <w:r w:rsidRPr="00B6707F">
        <w:rPr>
          <w:rFonts w:ascii="Poppins SemiBold" w:hAnsi="Poppins SemiBold" w:cs="Poppins SemiBold"/>
          <w:noProof/>
          <w:lang w:val="fr-CA"/>
        </w:rPr>
        <w:t>Sensibiliser l’organisation à la valeur de l’offre active de services de santé en français</w:t>
      </w:r>
    </w:p>
    <w:p w:rsidR="00B6707F" w:rsidRPr="00B6707F" w:rsidRDefault="00B6707F" w:rsidP="00B6707F">
      <w:pPr>
        <w:pStyle w:val="Paragraphedeliste"/>
        <w:spacing w:line="240" w:lineRule="auto"/>
        <w:ind w:left="360"/>
        <w:rPr>
          <w:rFonts w:ascii="Poppins SemiBold" w:hAnsi="Poppins SemiBold" w:cs="Poppins SemiBold"/>
          <w:noProof/>
          <w:lang w:val="fr-CA"/>
        </w:rPr>
      </w:pPr>
    </w:p>
    <w:p w:rsidR="00834476" w:rsidRPr="00B6707F" w:rsidRDefault="00834476" w:rsidP="00834476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B6707F">
        <w:rPr>
          <w:rFonts w:ascii="Poppins Light" w:hAnsi="Poppins Light" w:cs="Poppins Light"/>
          <w:noProof/>
          <w:lang w:val="fr-CA"/>
        </w:rPr>
        <w:t xml:space="preserve">[Nom de l’organisme] s’engage à offrir une formation sur l’offre active des services de santé en français à tous ses employés, bénévoles, professionnels avec droits de traitement de même qu’aux membres </w:t>
      </w:r>
      <w:r w:rsidR="00B6707F" w:rsidRPr="00B6707F">
        <w:rPr>
          <w:rFonts w:ascii="Poppins Light" w:hAnsi="Poppins Light" w:cs="Poppins Light"/>
          <w:noProof/>
          <w:lang w:val="fr-CA"/>
        </w:rPr>
        <w:t>de la gouvernance</w:t>
      </w:r>
      <w:r w:rsidRPr="00B6707F">
        <w:rPr>
          <w:rFonts w:ascii="Poppins Light" w:hAnsi="Poppins Light" w:cs="Poppins Light"/>
          <w:noProof/>
          <w:lang w:val="fr-CA"/>
        </w:rPr>
        <w:t>. Cette formation sera offerte, dès l’embauche, par l’entremise de la ressource externe suivante: Formation en ligne - L'offre active des services de santé en français : pourquoi et comment la mettre en pratique (</w:t>
      </w:r>
      <w:hyperlink r:id="rId8" w:history="1">
        <w:r w:rsidR="00B6707F" w:rsidRPr="00B6707F">
          <w:rPr>
            <w:rStyle w:val="Lienhypertexte"/>
            <w:rFonts w:ascii="Poppins Light" w:hAnsi="Poppins Light" w:cs="Poppins Light"/>
            <w:noProof/>
            <w:lang w:val="fr-CA"/>
          </w:rPr>
          <w:t>https://formationoffreactive.ca/</w:t>
        </w:r>
      </w:hyperlink>
      <w:r w:rsidRPr="00B6707F">
        <w:rPr>
          <w:rFonts w:ascii="Poppins Light" w:hAnsi="Poppins Light" w:cs="Poppins Light"/>
          <w:noProof/>
          <w:lang w:val="fr-CA"/>
        </w:rPr>
        <w:t>).</w:t>
      </w:r>
    </w:p>
    <w:p w:rsidR="00B6707F" w:rsidRPr="00B6707F" w:rsidRDefault="00B6707F" w:rsidP="00B6707F">
      <w:pPr>
        <w:pStyle w:val="Paragraphedeliste"/>
        <w:ind w:left="792"/>
        <w:rPr>
          <w:rFonts w:ascii="Poppins Light" w:hAnsi="Poppins Light" w:cs="Poppins Light"/>
          <w:noProof/>
          <w:lang w:val="fr-CA"/>
        </w:rPr>
      </w:pPr>
    </w:p>
    <w:p w:rsidR="00834476" w:rsidRPr="00B6707F" w:rsidRDefault="00834476" w:rsidP="00834476">
      <w:pPr>
        <w:pStyle w:val="Paragraphedeliste"/>
        <w:numPr>
          <w:ilvl w:val="0"/>
          <w:numId w:val="1"/>
        </w:numPr>
        <w:rPr>
          <w:rFonts w:ascii="Poppins SemiBold" w:hAnsi="Poppins SemiBold" w:cs="Poppins SemiBold"/>
          <w:noProof/>
          <w:lang w:val="fr-CA"/>
        </w:rPr>
      </w:pPr>
      <w:r w:rsidRPr="00B6707F">
        <w:rPr>
          <w:rFonts w:ascii="Poppins SemiBold" w:hAnsi="Poppins SemiBold" w:cs="Poppins SemiBold"/>
          <w:noProof/>
          <w:lang w:val="fr-CA"/>
        </w:rPr>
        <w:t>Identifier les employés qui ont des compétences linguistiques</w:t>
      </w:r>
      <w:r w:rsidR="00A20496">
        <w:rPr>
          <w:rFonts w:ascii="Poppins SemiBold" w:hAnsi="Poppins SemiBold" w:cs="Poppins SemiBold"/>
          <w:noProof/>
          <w:lang w:val="fr-CA"/>
        </w:rPr>
        <w:t xml:space="preserve"> </w:t>
      </w:r>
      <w:r w:rsidRPr="00B6707F">
        <w:rPr>
          <w:rFonts w:ascii="Poppins SemiBold" w:hAnsi="Poppins SemiBold" w:cs="Poppins SemiBold"/>
          <w:noProof/>
          <w:lang w:val="fr-CA"/>
        </w:rPr>
        <w:t>en français</w:t>
      </w:r>
    </w:p>
    <w:p w:rsidR="00B6707F" w:rsidRPr="00B6707F" w:rsidRDefault="00B6707F" w:rsidP="00B6707F">
      <w:pPr>
        <w:pStyle w:val="Paragraphedeliste"/>
        <w:ind w:left="360"/>
        <w:rPr>
          <w:rFonts w:ascii="Poppins SemiBold" w:hAnsi="Poppins SemiBold" w:cs="Poppins SemiBold"/>
          <w:noProof/>
          <w:lang w:val="fr-CA"/>
        </w:rPr>
      </w:pPr>
    </w:p>
    <w:p w:rsidR="00B6707F" w:rsidRPr="00B6707F" w:rsidRDefault="00B6707F" w:rsidP="00B6707F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B6707F">
        <w:rPr>
          <w:rFonts w:ascii="Poppins Light" w:hAnsi="Poppins Light" w:cs="Poppins Light"/>
          <w:noProof/>
          <w:lang w:val="fr-CA"/>
        </w:rPr>
        <w:t xml:space="preserve">[Nom de l’organisme] assure que les compétences linguistiques orales en français de tous les employés sont évaluées, selon les niveaux de compétences </w:t>
      </w:r>
      <w:r w:rsidR="00243FC6">
        <w:rPr>
          <w:rFonts w:ascii="Poppins Light" w:hAnsi="Poppins Light" w:cs="Poppins Light"/>
          <w:noProof/>
          <w:lang w:val="fr-CA"/>
        </w:rPr>
        <w:t>linguistiques en français</w:t>
      </w:r>
      <w:r w:rsidRPr="00B6707F">
        <w:rPr>
          <w:rFonts w:ascii="Poppins Light" w:hAnsi="Poppins Light" w:cs="Poppins Light"/>
          <w:noProof/>
          <w:lang w:val="fr-CA"/>
        </w:rPr>
        <w:t xml:space="preserve"> recommandés par le gouvernement de l’Ontario, dès leur embauche.</w:t>
      </w:r>
    </w:p>
    <w:p w:rsidR="00B6707F" w:rsidRPr="00B6707F" w:rsidRDefault="00B6707F" w:rsidP="00B6707F">
      <w:pPr>
        <w:pStyle w:val="Paragraphedeliste"/>
        <w:ind w:left="792"/>
        <w:rPr>
          <w:rFonts w:ascii="Poppins Light" w:hAnsi="Poppins Light" w:cs="Poppins Light"/>
          <w:noProof/>
          <w:lang w:val="fr-CA"/>
        </w:rPr>
      </w:pPr>
    </w:p>
    <w:p w:rsidR="00B6707F" w:rsidRPr="00B6707F" w:rsidRDefault="00B6707F" w:rsidP="00B6707F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B6707F">
        <w:rPr>
          <w:rFonts w:ascii="Poppins Light" w:hAnsi="Poppins Light" w:cs="Poppins Light"/>
          <w:noProof/>
          <w:lang w:val="fr-CA"/>
        </w:rPr>
        <w:t>[Nom de l’organisme] tient à jour un répertoire des employés ayant la capacité d’offrir des services en français, et ce, par type de poste.</w:t>
      </w:r>
    </w:p>
    <w:p w:rsidR="00B6707F" w:rsidRPr="00B6707F" w:rsidRDefault="00B6707F" w:rsidP="00B6707F">
      <w:pPr>
        <w:spacing w:after="0" w:line="240" w:lineRule="auto"/>
        <w:rPr>
          <w:rFonts w:ascii="Poppins Light" w:hAnsi="Poppins Light" w:cs="Poppins Light"/>
          <w:noProof/>
          <w:lang w:val="fr-CA"/>
        </w:rPr>
      </w:pPr>
    </w:p>
    <w:p w:rsidR="00B6707F" w:rsidRPr="00B6707F" w:rsidRDefault="00B6707F" w:rsidP="00B6707F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B6707F">
        <w:rPr>
          <w:rFonts w:ascii="Poppins Light" w:hAnsi="Poppins Light" w:cs="Poppins Light"/>
          <w:noProof/>
          <w:lang w:val="fr-CA"/>
        </w:rPr>
        <w:t>Les employés qui maîtrisent le français seront munis de badges, de signature électronique et de messagerie vocale bilingue permettant au public d'identifier clairement leur capacité à communiquer en français.</w:t>
      </w:r>
    </w:p>
    <w:p w:rsidR="00B6707F" w:rsidRPr="00B6707F" w:rsidRDefault="00B6707F" w:rsidP="00B6707F">
      <w:pPr>
        <w:spacing w:after="0"/>
        <w:rPr>
          <w:rFonts w:ascii="Poppins Light" w:hAnsi="Poppins Light" w:cs="Poppins Light"/>
          <w:noProof/>
          <w:lang w:val="fr-CA"/>
        </w:rPr>
      </w:pPr>
    </w:p>
    <w:p w:rsidR="00834476" w:rsidRPr="00B6707F" w:rsidRDefault="00834476" w:rsidP="00834476">
      <w:pPr>
        <w:pStyle w:val="Paragraphedeliste"/>
        <w:numPr>
          <w:ilvl w:val="0"/>
          <w:numId w:val="1"/>
        </w:numPr>
        <w:rPr>
          <w:rFonts w:ascii="Poppins SemiBold" w:hAnsi="Poppins SemiBold" w:cs="Poppins SemiBold"/>
          <w:noProof/>
          <w:lang w:val="fr-CA"/>
        </w:rPr>
      </w:pPr>
      <w:r w:rsidRPr="00B6707F">
        <w:rPr>
          <w:rFonts w:ascii="Poppins SemiBold" w:hAnsi="Poppins SemiBold" w:cs="Poppins SemiBold"/>
          <w:noProof/>
          <w:lang w:val="fr-CA"/>
        </w:rPr>
        <w:t>Identifier les francophones</w:t>
      </w:r>
    </w:p>
    <w:p w:rsidR="00B6707F" w:rsidRPr="00B6707F" w:rsidRDefault="00B6707F" w:rsidP="00B6707F">
      <w:pPr>
        <w:pStyle w:val="Paragraphedeliste"/>
        <w:ind w:left="360"/>
        <w:rPr>
          <w:rFonts w:ascii="Poppins SemiBold" w:hAnsi="Poppins SemiBold" w:cs="Poppins SemiBold"/>
          <w:noProof/>
          <w:lang w:val="fr-CA"/>
        </w:rPr>
      </w:pPr>
    </w:p>
    <w:p w:rsidR="00B6707F" w:rsidRPr="00B6707F" w:rsidRDefault="00B6707F" w:rsidP="00B6707F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B6707F">
        <w:rPr>
          <w:rFonts w:ascii="Poppins Light" w:hAnsi="Poppins Light" w:cs="Poppins Light"/>
          <w:noProof/>
          <w:lang w:val="fr-CA"/>
        </w:rPr>
        <w:t>[Nom de l’organisme] possède un mécanisme pour déterminer la langue maternelle et la langue dans laquelle le client est le plus à l’aise de recevoir ses services dès le premier contact. Ces informations sont notées dans le dossier du client.</w:t>
      </w:r>
    </w:p>
    <w:p w:rsidR="00B6707F" w:rsidRPr="00B6707F" w:rsidRDefault="00B6707F" w:rsidP="00B6707F">
      <w:pPr>
        <w:pStyle w:val="Paragraphedeliste"/>
        <w:ind w:left="792"/>
        <w:rPr>
          <w:rFonts w:ascii="Poppins Light" w:hAnsi="Poppins Light" w:cs="Poppins Light"/>
          <w:noProof/>
          <w:lang w:val="fr-CA"/>
        </w:rPr>
      </w:pPr>
    </w:p>
    <w:p w:rsidR="00B6707F" w:rsidRPr="00B6707F" w:rsidRDefault="00B6707F" w:rsidP="00B6707F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B6707F">
        <w:rPr>
          <w:rFonts w:ascii="Poppins Light" w:hAnsi="Poppins Light" w:cs="Poppins Light"/>
          <w:noProof/>
          <w:lang w:val="fr-CA"/>
        </w:rPr>
        <w:t>Il incombe à la gestion et aux employés d’accueillir les clients dont l’identité linguistique est inconnue dans les deux langues officielles.</w:t>
      </w:r>
    </w:p>
    <w:p w:rsidR="00B6707F" w:rsidRPr="00B6707F" w:rsidRDefault="00B6707F" w:rsidP="00B6707F">
      <w:pPr>
        <w:pStyle w:val="Paragraphedeliste"/>
        <w:ind w:left="792"/>
        <w:rPr>
          <w:rFonts w:ascii="Poppins Light" w:hAnsi="Poppins Light" w:cs="Poppins Light"/>
          <w:noProof/>
          <w:lang w:val="fr-CA"/>
        </w:rPr>
      </w:pPr>
    </w:p>
    <w:p w:rsidR="00834476" w:rsidRDefault="00834476" w:rsidP="00834476">
      <w:pPr>
        <w:pStyle w:val="Paragraphedeliste"/>
        <w:numPr>
          <w:ilvl w:val="0"/>
          <w:numId w:val="1"/>
        </w:numPr>
        <w:rPr>
          <w:rFonts w:ascii="Poppins SemiBold" w:hAnsi="Poppins SemiBold" w:cs="Poppins SemiBold"/>
          <w:noProof/>
          <w:lang w:val="fr-CA"/>
        </w:rPr>
      </w:pPr>
      <w:r w:rsidRPr="00B6707F">
        <w:rPr>
          <w:rFonts w:ascii="Poppins SemiBold" w:hAnsi="Poppins SemiBold" w:cs="Poppins SemiBold"/>
          <w:noProof/>
          <w:lang w:val="fr-CA"/>
        </w:rPr>
        <w:t>Jumeler les francophones avec les employés qui ont des compétences linguistiques</w:t>
      </w:r>
      <w:r w:rsidR="00A20496">
        <w:rPr>
          <w:rFonts w:ascii="Poppins SemiBold" w:hAnsi="Poppins SemiBold" w:cs="Poppins SemiBold"/>
          <w:noProof/>
          <w:lang w:val="fr-CA"/>
        </w:rPr>
        <w:t xml:space="preserve"> </w:t>
      </w:r>
      <w:r w:rsidRPr="00B6707F">
        <w:rPr>
          <w:rFonts w:ascii="Poppins SemiBold" w:hAnsi="Poppins SemiBold" w:cs="Poppins SemiBold"/>
          <w:noProof/>
          <w:lang w:val="fr-CA"/>
        </w:rPr>
        <w:t>en français</w:t>
      </w:r>
    </w:p>
    <w:p w:rsidR="00243FC6" w:rsidRDefault="00243FC6" w:rsidP="00243FC6">
      <w:pPr>
        <w:pStyle w:val="Paragraphedeliste"/>
        <w:ind w:left="360"/>
        <w:rPr>
          <w:rFonts w:ascii="Poppins SemiBold" w:hAnsi="Poppins SemiBold" w:cs="Poppins SemiBold"/>
          <w:noProof/>
          <w:lang w:val="fr-CA"/>
        </w:rPr>
      </w:pPr>
    </w:p>
    <w:p w:rsidR="00243FC6" w:rsidRDefault="00243FC6" w:rsidP="00243FC6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243FC6">
        <w:rPr>
          <w:rFonts w:ascii="Poppins Light" w:hAnsi="Poppins Light" w:cs="Poppins Light"/>
          <w:noProof/>
          <w:lang w:val="fr-CA"/>
        </w:rPr>
        <w:t xml:space="preserve">Les clients francophones sont jumelés au personnel ayant les qualifications et l’un des </w:t>
      </w:r>
      <w:hyperlink r:id="rId9" w:anchor="section-4:~:text=Annexe%20II%C2%A0%3A%20Niveaux,et%20d%E2%80%99ordre%20secondaire." w:history="1">
        <w:r w:rsidRPr="00243FC6">
          <w:rPr>
            <w:rStyle w:val="Lienhypertexte"/>
            <w:rFonts w:ascii="Poppins Light" w:hAnsi="Poppins Light" w:cs="Poppins Light"/>
            <w:noProof/>
            <w:lang w:val="fr-CA"/>
          </w:rPr>
          <w:t>niveaux de compétences linguistiques en français recommandés par le gouvernement de l’Ontario</w:t>
        </w:r>
      </w:hyperlink>
      <w:r w:rsidRPr="00243FC6">
        <w:rPr>
          <w:rFonts w:ascii="Poppins Light" w:hAnsi="Poppins Light" w:cs="Poppins Light"/>
          <w:noProof/>
          <w:lang w:val="fr-CA"/>
        </w:rPr>
        <w:t>.</w:t>
      </w:r>
    </w:p>
    <w:p w:rsidR="00243FC6" w:rsidRDefault="00243FC6" w:rsidP="00243FC6">
      <w:pPr>
        <w:pStyle w:val="Paragraphedeliste"/>
        <w:ind w:left="792"/>
        <w:rPr>
          <w:rFonts w:ascii="Poppins Light" w:hAnsi="Poppins Light" w:cs="Poppins Light"/>
          <w:noProof/>
          <w:lang w:val="fr-CA"/>
        </w:rPr>
      </w:pPr>
    </w:p>
    <w:p w:rsidR="00243FC6" w:rsidRPr="00A20496" w:rsidRDefault="00243FC6" w:rsidP="00A20496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243FC6">
        <w:rPr>
          <w:rFonts w:ascii="Poppins Light" w:hAnsi="Poppins Light" w:cs="Poppins Light"/>
          <w:noProof/>
          <w:lang w:val="fr-CA"/>
        </w:rPr>
        <w:t>Il incombe à la gestion et aux employés de veiller à ce que les clients reçoivent les services requis en français. Si un employé n’a pas les compétences linguistiques requises, il cherchera de l’assistance pour répondre aux besoins de la clientèle.</w:t>
      </w:r>
    </w:p>
    <w:p w:rsidR="00243FC6" w:rsidRPr="00243FC6" w:rsidRDefault="00243FC6" w:rsidP="00243FC6">
      <w:pPr>
        <w:pStyle w:val="Paragraphedeliste"/>
        <w:spacing w:after="0"/>
        <w:ind w:left="792"/>
        <w:rPr>
          <w:rFonts w:ascii="Poppins Light" w:hAnsi="Poppins Light" w:cs="Poppins Light"/>
          <w:noProof/>
          <w:lang w:val="fr-CA"/>
        </w:rPr>
      </w:pPr>
    </w:p>
    <w:p w:rsidR="00834476" w:rsidRDefault="00834476" w:rsidP="00834476">
      <w:pPr>
        <w:pStyle w:val="Paragraphedeliste"/>
        <w:numPr>
          <w:ilvl w:val="0"/>
          <w:numId w:val="1"/>
        </w:numPr>
        <w:rPr>
          <w:rFonts w:ascii="Poppins SemiBold" w:hAnsi="Poppins SemiBold" w:cs="Poppins SemiBold"/>
          <w:noProof/>
          <w:lang w:val="fr-CA"/>
        </w:rPr>
      </w:pPr>
      <w:r w:rsidRPr="00B6707F">
        <w:rPr>
          <w:rFonts w:ascii="Poppins SemiBold" w:hAnsi="Poppins SemiBold" w:cs="Poppins SemiBold"/>
          <w:noProof/>
          <w:lang w:val="fr-CA"/>
        </w:rPr>
        <w:t>Référer les francophones vers un fournisseur peut offrir les services en français</w:t>
      </w:r>
    </w:p>
    <w:p w:rsidR="00243FC6" w:rsidRDefault="00243FC6" w:rsidP="00243FC6">
      <w:pPr>
        <w:pStyle w:val="Paragraphedeliste"/>
        <w:ind w:left="360"/>
        <w:rPr>
          <w:rFonts w:ascii="Poppins SemiBold" w:hAnsi="Poppins SemiBold" w:cs="Poppins SemiBold"/>
          <w:noProof/>
          <w:lang w:val="fr-CA"/>
        </w:rPr>
      </w:pPr>
    </w:p>
    <w:p w:rsidR="00243FC6" w:rsidRDefault="00243FC6" w:rsidP="00243FC6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243FC6">
        <w:rPr>
          <w:rFonts w:ascii="Poppins Light" w:hAnsi="Poppins Light" w:cs="Poppins Light"/>
          <w:noProof/>
          <w:lang w:val="fr-CA"/>
        </w:rPr>
        <w:t>Lorsque les services requis ne sont pas disponibles en français, [Nom de l’organisme] informe ses clients de la possibilité d’être référé vers un organisme externe qui offre des services de qualité égale en français.</w:t>
      </w:r>
    </w:p>
    <w:p w:rsidR="00243FC6" w:rsidRDefault="00243FC6" w:rsidP="00243FC6">
      <w:pPr>
        <w:pStyle w:val="Paragraphedeliste"/>
        <w:ind w:left="792"/>
        <w:rPr>
          <w:rFonts w:ascii="Poppins Light" w:hAnsi="Poppins Light" w:cs="Poppins Light"/>
          <w:noProof/>
          <w:lang w:val="fr-CA"/>
        </w:rPr>
      </w:pPr>
    </w:p>
    <w:p w:rsidR="00243FC6" w:rsidRDefault="00243FC6" w:rsidP="00243FC6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 w:rsidRPr="00243FC6">
        <w:rPr>
          <w:rFonts w:ascii="Poppins Light" w:hAnsi="Poppins Light" w:cs="Poppins Light"/>
          <w:noProof/>
          <w:lang w:val="fr-CA"/>
        </w:rPr>
        <w:lastRenderedPageBreak/>
        <w:t>[Nom de l’organisme] conclut des ententes formelles de référence avec des fournisseurs de services qui offrent des services de même qualité en français pour ses programmes</w:t>
      </w:r>
      <w:r>
        <w:rPr>
          <w:rFonts w:ascii="Poppins Light" w:hAnsi="Poppins Light" w:cs="Poppins Light"/>
          <w:noProof/>
          <w:lang w:val="fr-CA"/>
        </w:rPr>
        <w:t xml:space="preserve"> et/ou services</w:t>
      </w:r>
      <w:r w:rsidRPr="00243FC6">
        <w:rPr>
          <w:rFonts w:ascii="Poppins Light" w:hAnsi="Poppins Light" w:cs="Poppins Light"/>
          <w:noProof/>
          <w:lang w:val="fr-CA"/>
        </w:rPr>
        <w:t xml:space="preserve"> qui ne sont pas disponibles en français. Un processus formel est étab</w:t>
      </w:r>
      <w:r>
        <w:rPr>
          <w:rFonts w:ascii="Poppins Light" w:hAnsi="Poppins Light" w:cs="Poppins Light"/>
          <w:noProof/>
          <w:lang w:val="fr-CA"/>
        </w:rPr>
        <w:t xml:space="preserve">li pour assurer l’efficience, </w:t>
      </w:r>
      <w:r w:rsidRPr="00243FC6">
        <w:rPr>
          <w:rFonts w:ascii="Poppins Light" w:hAnsi="Poppins Light" w:cs="Poppins Light"/>
          <w:noProof/>
          <w:lang w:val="fr-CA"/>
        </w:rPr>
        <w:t>l’efficacit</w:t>
      </w:r>
      <w:r>
        <w:rPr>
          <w:rFonts w:ascii="Poppins Light" w:hAnsi="Poppins Light" w:cs="Poppins Light"/>
          <w:noProof/>
          <w:lang w:val="fr-CA"/>
        </w:rPr>
        <w:t>é et d</w:t>
      </w:r>
      <w:r w:rsidRPr="00243FC6">
        <w:rPr>
          <w:rFonts w:ascii="Poppins Light" w:hAnsi="Poppins Light" w:cs="Poppins Light"/>
          <w:noProof/>
          <w:lang w:val="fr-CA"/>
        </w:rPr>
        <w:t>es délais égaux des soins.</w:t>
      </w:r>
    </w:p>
    <w:p w:rsidR="00243FC6" w:rsidRPr="00243FC6" w:rsidRDefault="00243FC6" w:rsidP="00243FC6">
      <w:pPr>
        <w:pStyle w:val="Paragraphedeliste"/>
        <w:ind w:left="792"/>
        <w:rPr>
          <w:rFonts w:ascii="Poppins Light" w:hAnsi="Poppins Light" w:cs="Poppins Light"/>
          <w:noProof/>
          <w:lang w:val="fr-CA"/>
        </w:rPr>
      </w:pPr>
    </w:p>
    <w:p w:rsidR="00834476" w:rsidRDefault="00834476" w:rsidP="00834476">
      <w:pPr>
        <w:pStyle w:val="Paragraphedeliste"/>
        <w:numPr>
          <w:ilvl w:val="0"/>
          <w:numId w:val="1"/>
        </w:numPr>
        <w:rPr>
          <w:rFonts w:ascii="Poppins SemiBold" w:hAnsi="Poppins SemiBold" w:cs="Poppins SemiBold"/>
          <w:noProof/>
          <w:lang w:val="fr-CA"/>
        </w:rPr>
      </w:pPr>
      <w:r w:rsidRPr="00B6707F">
        <w:rPr>
          <w:rFonts w:ascii="Poppins SemiBold" w:hAnsi="Poppins SemiBold" w:cs="Poppins SemiBold"/>
          <w:noProof/>
          <w:lang w:val="fr-CA"/>
        </w:rPr>
        <w:t>Mesurer les résultats</w:t>
      </w:r>
    </w:p>
    <w:p w:rsidR="00243FC6" w:rsidRDefault="00243FC6" w:rsidP="00243FC6">
      <w:pPr>
        <w:pStyle w:val="Paragraphedeliste"/>
        <w:ind w:left="360"/>
        <w:rPr>
          <w:rFonts w:ascii="Poppins SemiBold" w:hAnsi="Poppins SemiBold" w:cs="Poppins SemiBold"/>
          <w:noProof/>
          <w:lang w:val="fr-CA"/>
        </w:rPr>
      </w:pPr>
    </w:p>
    <w:p w:rsidR="00243FC6" w:rsidRPr="00243FC6" w:rsidRDefault="00243FC6" w:rsidP="00243FC6">
      <w:pPr>
        <w:pStyle w:val="Paragraphedeliste"/>
        <w:numPr>
          <w:ilvl w:val="1"/>
          <w:numId w:val="1"/>
        </w:numPr>
        <w:rPr>
          <w:rFonts w:ascii="Poppins Light" w:hAnsi="Poppins Light" w:cs="Poppins Light"/>
          <w:noProof/>
          <w:lang w:val="fr-CA"/>
        </w:rPr>
      </w:pPr>
      <w:r>
        <w:rPr>
          <w:rFonts w:ascii="Poppins Light" w:hAnsi="Poppins Light" w:cs="Poppins Light"/>
          <w:noProof/>
          <w:lang w:val="fr-CA"/>
        </w:rPr>
        <w:t xml:space="preserve">La gouvernance </w:t>
      </w:r>
      <w:r w:rsidRPr="00243FC6">
        <w:rPr>
          <w:rFonts w:ascii="Poppins Light" w:hAnsi="Poppins Light" w:cs="Poppins Light"/>
          <w:noProof/>
          <w:lang w:val="fr-CA"/>
        </w:rPr>
        <w:t>reçoit annuellement un rapport, produit et présenté par le champion, sur les indicateurs clés des stratégies gagnantes adoptées par l’organisation.</w:t>
      </w:r>
      <w:r w:rsidR="009B2BFE">
        <w:rPr>
          <w:rFonts w:ascii="Poppins Light" w:hAnsi="Poppins Light" w:cs="Poppins Light"/>
          <w:noProof/>
          <w:lang w:val="fr-CA"/>
        </w:rPr>
        <w:softHyphen/>
      </w:r>
      <w:r w:rsidR="009B2BFE">
        <w:rPr>
          <w:rFonts w:ascii="Poppins Light" w:hAnsi="Poppins Light" w:cs="Poppins Light"/>
          <w:noProof/>
          <w:lang w:val="fr-CA"/>
        </w:rPr>
        <w:softHyphen/>
      </w:r>
    </w:p>
    <w:p w:rsidR="00834476" w:rsidRPr="00834476" w:rsidRDefault="00834476" w:rsidP="00834476">
      <w:pPr>
        <w:pStyle w:val="Paragraphedeliste"/>
        <w:rPr>
          <w:rFonts w:ascii="Poppins SemiBold" w:hAnsi="Poppins SemiBold" w:cs="Poppins SemiBold"/>
          <w:noProof/>
          <w:sz w:val="24"/>
          <w:lang w:val="fr-CA"/>
        </w:rPr>
      </w:pPr>
    </w:p>
    <w:p w:rsidR="00621BE1" w:rsidRDefault="00621BE1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Default="00A20496">
      <w:pPr>
        <w:rPr>
          <w:rFonts w:ascii="Poppins SemiBold" w:hAnsi="Poppins SemiBold" w:cs="Poppins SemiBold"/>
          <w:noProof/>
          <w:sz w:val="28"/>
          <w:lang w:val="fr-CA"/>
        </w:rPr>
      </w:pPr>
    </w:p>
    <w:p w:rsidR="00A20496" w:rsidRPr="00A20496" w:rsidRDefault="00A20496">
      <w:pPr>
        <w:rPr>
          <w:rFonts w:ascii="Poppins SemiBold" w:hAnsi="Poppins SemiBold" w:cs="Poppins SemiBold"/>
          <w:noProof/>
          <w:sz w:val="24"/>
          <w:szCs w:val="24"/>
          <w:lang w:val="fr-CA"/>
        </w:rPr>
      </w:pPr>
      <w:r w:rsidRPr="00A20496">
        <w:rPr>
          <w:rFonts w:ascii="Poppins SemiBold" w:hAnsi="Poppins SemiBold" w:cs="Poppins SemiBold"/>
          <w:noProof/>
          <w:sz w:val="24"/>
          <w:szCs w:val="24"/>
          <w:lang w:val="fr-CA"/>
        </w:rPr>
        <w:t xml:space="preserve">Dernière révision : </w:t>
      </w:r>
      <w:r w:rsidRPr="00A20496">
        <w:rPr>
          <w:rFonts w:ascii="Poppins Light" w:hAnsi="Poppins Light" w:cs="Poppins Light"/>
          <w:noProof/>
          <w:sz w:val="24"/>
          <w:szCs w:val="24"/>
          <w:lang w:val="fr-CA"/>
        </w:rPr>
        <w:t>26 février 2025</w:t>
      </w:r>
    </w:p>
    <w:sectPr w:rsidR="00A20496" w:rsidRPr="00A20496" w:rsidSect="009B2BFE">
      <w:headerReference w:type="default" r:id="rId10"/>
      <w:footerReference w:type="default" r:id="rId11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2F" w:rsidRDefault="0045582F" w:rsidP="00F73429">
      <w:pPr>
        <w:spacing w:after="0" w:line="240" w:lineRule="auto"/>
      </w:pPr>
      <w:r>
        <w:separator/>
      </w:r>
    </w:p>
  </w:endnote>
  <w:endnote w:type="continuationSeparator" w:id="0">
    <w:p w:rsidR="0045582F" w:rsidRDefault="0045582F" w:rsidP="00F7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29" w:rsidRDefault="00834476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1218641" cy="47717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50218_SG_Logo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641" cy="47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4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8219" wp14:editId="5D83BDA4">
              <wp:simplePos x="0" y="0"/>
              <wp:positionH relativeFrom="page">
                <wp:align>left</wp:align>
              </wp:positionH>
              <wp:positionV relativeFrom="paragraph">
                <wp:posOffset>399495</wp:posOffset>
              </wp:positionV>
              <wp:extent cx="7770805" cy="213360"/>
              <wp:effectExtent l="0" t="0" r="190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805" cy="213360"/>
                      </a:xfrm>
                      <a:prstGeom prst="rect">
                        <a:avLst/>
                      </a:prstGeom>
                      <a:solidFill>
                        <a:srgbClr val="6195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A461F93" id="Rectangle 4" o:spid="_x0000_s1026" style="position:absolute;margin-left:0;margin-top:31.45pt;width:611.85pt;height:16.8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" fillcolor="#619573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2F" w:rsidRDefault="0045582F" w:rsidP="00F73429">
      <w:pPr>
        <w:spacing w:after="0" w:line="240" w:lineRule="auto"/>
      </w:pPr>
      <w:r>
        <w:separator/>
      </w:r>
    </w:p>
  </w:footnote>
  <w:footnote w:type="continuationSeparator" w:id="0">
    <w:p w:rsidR="0045582F" w:rsidRDefault="0045582F" w:rsidP="00F7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96" w:rsidRDefault="00586F91">
    <w:pPr>
      <w:pStyle w:val="En-tte"/>
      <w:jc w:val="right"/>
    </w:pPr>
    <w:sdt>
      <w:sdtPr>
        <w:id w:val="-209885417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0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6F91" w:rsidRDefault="00586F91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B41A5" w:rsidRPr="00BB41A5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3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7" style="position:absolute;left:0;text-align:left;margin-left:0;margin-top:0;width:37.6pt;height:37.6pt;z-index:25166643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" o:allowincell="f" fillcolor="#619573" stroked="f">
                  <v:textbox inset="0,,0">
                    <w:txbxContent>
                      <w:p w:rsidR="00586F91" w:rsidRDefault="00586F91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B41A5" w:rsidRPr="00BB41A5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3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sdt>
      <w:sdtPr>
        <w:id w:val="1648932267"/>
        <w:docPartObj>
          <w:docPartGallery w:val="Page Numbers (Top of Page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445B6AF" wp14:editId="217E1B63">
                  <wp:simplePos x="0" y="0"/>
                  <wp:positionH relativeFrom="page">
                    <wp:posOffset>16933</wp:posOffset>
                  </wp:positionH>
                  <wp:positionV relativeFrom="paragraph">
                    <wp:posOffset>-432435</wp:posOffset>
                  </wp:positionV>
                  <wp:extent cx="7770805" cy="213360"/>
                  <wp:effectExtent l="0" t="0" r="1905" b="0"/>
                  <wp:wrapNone/>
                  <wp:docPr id="19" name="Rectangl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0805" cy="213360"/>
                          </a:xfrm>
                          <a:prstGeom prst="rect">
                            <a:avLst/>
                          </a:prstGeom>
                          <a:solidFill>
                            <a:srgbClr val="6195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548E7FCF" id="Rectangle 19" o:spid="_x0000_s1026" style="position:absolute;margin-left:1.35pt;margin-top:-34.05pt;width:611.85pt;height:16.8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" fillcolor="#619573" stroked="f" strokeweight="1pt">
                  <w10:wrap anchorx="page"/>
                </v:rect>
              </w:pict>
            </mc:Fallback>
          </mc:AlternateContent>
        </w:r>
      </w:sdtContent>
    </w:sdt>
  </w:p>
  <w:p w:rsidR="00F73429" w:rsidRPr="00621BE1" w:rsidRDefault="00F73429" w:rsidP="00621BE1">
    <w:pPr>
      <w:pStyle w:val="En-tte"/>
      <w:tabs>
        <w:tab w:val="clear" w:pos="4680"/>
        <w:tab w:val="clear" w:pos="9360"/>
        <w:tab w:val="left" w:pos="2572"/>
      </w:tabs>
      <w:jc w:val="right"/>
      <w:rPr>
        <w:rFonts w:ascii="Poppins ExtraBold" w:hAnsi="Poppins ExtraBold" w:cs="Poppins Extra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4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9"/>
    <w:rsid w:val="00243FC6"/>
    <w:rsid w:val="002617EE"/>
    <w:rsid w:val="0045582F"/>
    <w:rsid w:val="00586F91"/>
    <w:rsid w:val="00621BE1"/>
    <w:rsid w:val="00834476"/>
    <w:rsid w:val="009B2BFE"/>
    <w:rsid w:val="00A20496"/>
    <w:rsid w:val="00B62477"/>
    <w:rsid w:val="00B6707F"/>
    <w:rsid w:val="00BB41A5"/>
    <w:rsid w:val="00F7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D3899"/>
  <w15:chartTrackingRefBased/>
  <w15:docId w15:val="{7EA9EDFE-A9CB-4D1D-A890-67F4005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429"/>
  </w:style>
  <w:style w:type="paragraph" w:styleId="Pieddepage">
    <w:name w:val="footer"/>
    <w:basedOn w:val="Normal"/>
    <w:link w:val="PieddepageCar"/>
    <w:uiPriority w:val="99"/>
    <w:unhideWhenUsed/>
    <w:rsid w:val="00F7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429"/>
  </w:style>
  <w:style w:type="paragraph" w:styleId="Paragraphedeliste">
    <w:name w:val="List Paragraph"/>
    <w:basedOn w:val="Normal"/>
    <w:uiPriority w:val="34"/>
    <w:qFormat/>
    <w:rsid w:val="008344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707F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58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tionoffreactive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fr/page/guide-dutilisation-designation-des-organismes-conformement-la-loi-sur-les-services-en-franca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 </cp:lastModifiedBy>
  <cp:revision>7</cp:revision>
  <dcterms:created xsi:type="dcterms:W3CDTF">2025-02-26T16:46:00Z</dcterms:created>
  <dcterms:modified xsi:type="dcterms:W3CDTF">2025-02-26T19:10:00Z</dcterms:modified>
</cp:coreProperties>
</file>